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2A93" w14:textId="506344AB" w:rsidR="00025B26" w:rsidRDefault="00025B26" w:rsidP="00025B26">
      <w:pPr>
        <w:jc w:val="center"/>
      </w:pPr>
      <w:r>
        <w:t xml:space="preserve">Greenwood Area Library Board Annual Meeting </w:t>
      </w:r>
      <w:r w:rsidR="002A04E3">
        <w:t>Minutes</w:t>
      </w:r>
    </w:p>
    <w:p w14:paraId="5C89415C" w14:textId="77777777" w:rsidR="00025B26" w:rsidRDefault="00025B26" w:rsidP="00025B26">
      <w:pPr>
        <w:jc w:val="center"/>
      </w:pPr>
      <w:r>
        <w:t xml:space="preserve">February 20th, </w:t>
      </w:r>
      <w:proofErr w:type="gramStart"/>
      <w:r>
        <w:t>2025</w:t>
      </w:r>
      <w:proofErr w:type="gramEnd"/>
      <w:r>
        <w:t xml:space="preserve"> at 4 p.m. Greenwood Area Library</w:t>
      </w:r>
    </w:p>
    <w:p w14:paraId="189D5F36" w14:textId="77777777" w:rsidR="00025B26" w:rsidRDefault="00025B26" w:rsidP="00025B26">
      <w:pPr>
        <w:jc w:val="center"/>
      </w:pPr>
    </w:p>
    <w:p w14:paraId="685A4699" w14:textId="77777777" w:rsidR="00025B26" w:rsidRDefault="00025B26" w:rsidP="00025B26">
      <w:pPr>
        <w:jc w:val="center"/>
      </w:pPr>
    </w:p>
    <w:p w14:paraId="6A534D52" w14:textId="77777777" w:rsidR="00025B26" w:rsidRDefault="00025B26" w:rsidP="00025B26">
      <w:pPr>
        <w:jc w:val="center"/>
      </w:pPr>
    </w:p>
    <w:p w14:paraId="18CA38A7" w14:textId="19C9DEFD" w:rsidR="00025B26" w:rsidRDefault="00025B26" w:rsidP="00025B26">
      <w:pPr>
        <w:pStyle w:val="ListParagraph"/>
        <w:numPr>
          <w:ilvl w:val="0"/>
          <w:numId w:val="1"/>
        </w:numPr>
      </w:pPr>
      <w:r>
        <w:t>Call Meeting to Order-Meeting called to order by President Joe Green. Members present: Joe Green, Barb Ashbeck, Deanna Jordan, Kayla Schar, Stephanie Glaser, Jereld Block, Amber Brill &amp; special guest Mayor Dave Hansen.</w:t>
      </w:r>
    </w:p>
    <w:p w14:paraId="20EC2DCB" w14:textId="6BBB57E3" w:rsidR="00025B26" w:rsidRDefault="00025B26" w:rsidP="00025B26">
      <w:pPr>
        <w:pStyle w:val="ListParagraph"/>
        <w:numPr>
          <w:ilvl w:val="0"/>
          <w:numId w:val="1"/>
        </w:numPr>
      </w:pPr>
      <w:r w:rsidRPr="002A4874">
        <w:rPr>
          <w:color w:val="FF0000"/>
        </w:rPr>
        <w:t xml:space="preserve">Action Item: </w:t>
      </w:r>
      <w:r>
        <w:t>Approval of minutes for January 9</w:t>
      </w:r>
      <w:r w:rsidRPr="00025B26">
        <w:rPr>
          <w:vertAlign w:val="superscript"/>
        </w:rPr>
        <w:t>th</w:t>
      </w:r>
      <w:r>
        <w:t xml:space="preserve">-motion to approve made by Barb &amp; seconded by Jerry.  Barb, Deanna, Stephanie &amp; Jereld </w:t>
      </w:r>
      <w:r w:rsidR="002A04E3">
        <w:t>Ayed</w:t>
      </w:r>
      <w:r>
        <w:t>. Kayla Schar abstained. Motion carried.</w:t>
      </w:r>
    </w:p>
    <w:p w14:paraId="1FA59765" w14:textId="77777777" w:rsidR="00025B26" w:rsidRDefault="00025B26" w:rsidP="00025B26">
      <w:pPr>
        <w:pStyle w:val="ListParagraph"/>
        <w:numPr>
          <w:ilvl w:val="0"/>
          <w:numId w:val="1"/>
        </w:numPr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4"/>
        <w:gridCol w:w="2071"/>
        <w:gridCol w:w="5035"/>
      </w:tblGrid>
      <w:tr w:rsidR="00025B26" w:rsidRPr="00664B10" w14:paraId="4AC85DBC" w14:textId="77777777" w:rsidTr="0046173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E95" w14:textId="77777777" w:rsidR="00025B26" w:rsidRPr="00664B10" w:rsidRDefault="00025B26" w:rsidP="0046173E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Circulation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5A751924" w14:textId="77777777" w:rsidR="00025B26" w:rsidRPr="00664B10" w:rsidRDefault="00025B26" w:rsidP="0046173E">
            <w:pPr>
              <w:rPr>
                <w:rFonts w:cstheme="minorHAnsi"/>
                <w:u w:val="single"/>
              </w:rPr>
            </w:pPr>
            <w:r w:rsidRPr="00347B46">
              <w:rPr>
                <w:rFonts w:cstheme="minorHAnsi"/>
              </w:rPr>
              <w:t>Jan=</w:t>
            </w:r>
            <w:r>
              <w:rPr>
                <w:rFonts w:cstheme="minorHAnsi"/>
              </w:rPr>
              <w:t xml:space="preserve"> 1847</w:t>
            </w:r>
            <w:r w:rsidRPr="00285448">
              <w:rPr>
                <w:rFonts w:cstheme="minorHAnsi"/>
              </w:rPr>
              <w:t>/</w:t>
            </w:r>
            <w:r w:rsidRPr="00ED3C78">
              <w:rPr>
                <w:rFonts w:cstheme="minorHAnsi"/>
              </w:rPr>
              <w:t>+169 LY</w:t>
            </w:r>
          </w:p>
        </w:tc>
        <w:tc>
          <w:tcPr>
            <w:tcW w:w="5035" w:type="dxa"/>
          </w:tcPr>
          <w:p w14:paraId="59527110" w14:textId="77777777" w:rsidR="00025B26" w:rsidRPr="00664B10" w:rsidRDefault="00025B26" w:rsidP="0046173E">
            <w:pPr>
              <w:rPr>
                <w:rFonts w:cstheme="minorHAnsi"/>
                <w:u w:val="single"/>
              </w:rPr>
            </w:pPr>
          </w:p>
        </w:tc>
      </w:tr>
      <w:tr w:rsidR="00025B26" w:rsidRPr="00664B10" w14:paraId="3C51E42B" w14:textId="77777777" w:rsidTr="0046173E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6DC" w14:textId="77777777" w:rsidR="00025B26" w:rsidRPr="00664B10" w:rsidRDefault="00025B26" w:rsidP="0046173E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17FF5612" w14:textId="77777777" w:rsidR="00025B26" w:rsidRPr="00664B10" w:rsidRDefault="00025B26" w:rsidP="0046173E">
            <w:pPr>
              <w:rPr>
                <w:rFonts w:cstheme="minorHAnsi"/>
                <w:u w:val="single"/>
              </w:rPr>
            </w:pPr>
          </w:p>
        </w:tc>
        <w:tc>
          <w:tcPr>
            <w:tcW w:w="5035" w:type="dxa"/>
          </w:tcPr>
          <w:p w14:paraId="3995A118" w14:textId="77777777" w:rsidR="00025B26" w:rsidRPr="00664B10" w:rsidRDefault="00025B26" w:rsidP="0046173E">
            <w:pPr>
              <w:rPr>
                <w:rFonts w:cstheme="minorHAnsi"/>
                <w:u w:val="single"/>
              </w:rPr>
            </w:pPr>
          </w:p>
        </w:tc>
      </w:tr>
      <w:tr w:rsidR="00025B26" w:rsidRPr="00664B10" w14:paraId="087B8B5C" w14:textId="77777777" w:rsidTr="0046173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648" w14:textId="77777777" w:rsidR="00025B26" w:rsidRPr="00664B10" w:rsidRDefault="00025B26" w:rsidP="0046173E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E Circ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3CE857C5" w14:textId="77777777" w:rsidR="00025B26" w:rsidRPr="00664B10" w:rsidRDefault="00025B26" w:rsidP="0046173E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Jan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368</w:t>
            </w:r>
            <w:r w:rsidRPr="009808EE">
              <w:rPr>
                <w:rFonts w:cstheme="minorHAnsi"/>
              </w:rPr>
              <w:t>/</w:t>
            </w:r>
            <w:r w:rsidRPr="00517A7E">
              <w:rPr>
                <w:rFonts w:cstheme="minorHAnsi"/>
                <w:color w:val="FF0000"/>
              </w:rPr>
              <w:t xml:space="preserve"> </w:t>
            </w:r>
            <w:r w:rsidRPr="00124FDB">
              <w:rPr>
                <w:rFonts w:cstheme="minorHAnsi"/>
                <w:color w:val="FF0000"/>
              </w:rPr>
              <w:t>-218 LY</w:t>
            </w:r>
          </w:p>
        </w:tc>
        <w:tc>
          <w:tcPr>
            <w:tcW w:w="5035" w:type="dxa"/>
          </w:tcPr>
          <w:p w14:paraId="387C0293" w14:textId="77777777" w:rsidR="00025B26" w:rsidRPr="00664B10" w:rsidRDefault="00025B26" w:rsidP="0046173E">
            <w:pPr>
              <w:rPr>
                <w:rFonts w:cstheme="minorHAnsi"/>
                <w:u w:val="single"/>
              </w:rPr>
            </w:pPr>
          </w:p>
        </w:tc>
      </w:tr>
      <w:tr w:rsidR="00025B26" w:rsidRPr="00664B10" w14:paraId="2241A417" w14:textId="77777777" w:rsidTr="0046173E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69E" w14:textId="77777777" w:rsidR="00025B26" w:rsidRPr="00664B10" w:rsidRDefault="00025B26" w:rsidP="0046173E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085BB" w14:textId="77777777" w:rsidR="00025B26" w:rsidRPr="00664B10" w:rsidRDefault="00025B26" w:rsidP="0046173E">
            <w:pPr>
              <w:rPr>
                <w:rFonts w:cstheme="minorHAnsi"/>
                <w:u w:val="single"/>
              </w:rPr>
            </w:pPr>
          </w:p>
        </w:tc>
        <w:tc>
          <w:tcPr>
            <w:tcW w:w="5035" w:type="dxa"/>
          </w:tcPr>
          <w:p w14:paraId="32C748D3" w14:textId="77777777" w:rsidR="00025B26" w:rsidRPr="00664B10" w:rsidRDefault="00025B26" w:rsidP="0046173E">
            <w:pPr>
              <w:rPr>
                <w:rFonts w:cstheme="minorHAnsi"/>
                <w:u w:val="single"/>
              </w:rPr>
            </w:pPr>
          </w:p>
        </w:tc>
      </w:tr>
    </w:tbl>
    <w:p w14:paraId="4B40CD3D" w14:textId="77777777" w:rsidR="00025B26" w:rsidRPr="0034620D" w:rsidRDefault="00025B26" w:rsidP="00025B26">
      <w:pPr>
        <w:rPr>
          <w:u w:val="single"/>
        </w:rPr>
      </w:pPr>
    </w:p>
    <w:p w14:paraId="100E708F" w14:textId="77777777" w:rsidR="00025B26" w:rsidRDefault="00025B26" w:rsidP="00025B26">
      <w:pPr>
        <w:pStyle w:val="ListParagraph"/>
        <w:rPr>
          <w:u w:val="single"/>
        </w:rPr>
      </w:pPr>
      <w:r>
        <w:rPr>
          <w:u w:val="single"/>
        </w:rPr>
        <w:t>Savings balance before February payroll</w:t>
      </w:r>
    </w:p>
    <w:tbl>
      <w:tblPr>
        <w:tblStyle w:val="TableGrid"/>
        <w:tblpPr w:leftFromText="180" w:rightFromText="180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025B26" w:rsidRPr="00664B10" w14:paraId="6CCA9D29" w14:textId="77777777" w:rsidTr="0046173E">
        <w:tc>
          <w:tcPr>
            <w:tcW w:w="4495" w:type="dxa"/>
          </w:tcPr>
          <w:p w14:paraId="1500D7CC" w14:textId="77777777" w:rsidR="00025B26" w:rsidRPr="00664B10" w:rsidRDefault="00025B26" w:rsidP="0046173E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Forward Financial Account Balances</w:t>
            </w:r>
          </w:p>
        </w:tc>
        <w:tc>
          <w:tcPr>
            <w:tcW w:w="4135" w:type="dxa"/>
          </w:tcPr>
          <w:p w14:paraId="5C636946" w14:textId="77777777" w:rsidR="00025B26" w:rsidRPr="00664B10" w:rsidRDefault="00025B26" w:rsidP="0046173E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State of WI Account Balances</w:t>
            </w:r>
          </w:p>
        </w:tc>
      </w:tr>
      <w:tr w:rsidR="00025B26" w:rsidRPr="00664B10" w14:paraId="77F6F9D4" w14:textId="77777777" w:rsidTr="0046173E">
        <w:tc>
          <w:tcPr>
            <w:tcW w:w="4495" w:type="dxa"/>
          </w:tcPr>
          <w:p w14:paraId="33FC1BF7" w14:textId="77777777" w:rsidR="00025B26" w:rsidRPr="00664B10" w:rsidRDefault="00025B26" w:rsidP="0046173E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Savings  </w:t>
            </w:r>
            <w:r>
              <w:rPr>
                <w:rFonts w:cstheme="minorHAnsi"/>
              </w:rPr>
              <w:t xml:space="preserve"> 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$67,085.29 as of Feb 17</w:t>
            </w:r>
          </w:p>
        </w:tc>
        <w:tc>
          <w:tcPr>
            <w:tcW w:w="4135" w:type="dxa"/>
          </w:tcPr>
          <w:p w14:paraId="69C9A620" w14:textId="77777777" w:rsidR="00025B26" w:rsidRPr="00664B10" w:rsidRDefault="00025B26" w:rsidP="0046173E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Memorial Fund     </w:t>
            </w:r>
            <w:r>
              <w:rPr>
                <w:rFonts w:cstheme="minorHAnsi"/>
              </w:rPr>
              <w:t>$429.12</w:t>
            </w:r>
          </w:p>
        </w:tc>
      </w:tr>
      <w:tr w:rsidR="00025B26" w:rsidRPr="00664B10" w14:paraId="73A37607" w14:textId="77777777" w:rsidTr="0046173E">
        <w:tc>
          <w:tcPr>
            <w:tcW w:w="4495" w:type="dxa"/>
          </w:tcPr>
          <w:p w14:paraId="58DB42E9" w14:textId="77777777" w:rsidR="00025B26" w:rsidRPr="00664B10" w:rsidRDefault="00025B26" w:rsidP="0046173E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CD            </w:t>
            </w:r>
            <w:r>
              <w:rPr>
                <w:rFonts w:cstheme="minorHAnsi"/>
              </w:rPr>
              <w:t>$652.12</w:t>
            </w:r>
          </w:p>
        </w:tc>
        <w:tc>
          <w:tcPr>
            <w:tcW w:w="4135" w:type="dxa"/>
          </w:tcPr>
          <w:p w14:paraId="6EA2B916" w14:textId="77777777" w:rsidR="00025B26" w:rsidRPr="00766B9F" w:rsidRDefault="00025B26" w:rsidP="004617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Month CD         $10,524.48   </w:t>
            </w:r>
          </w:p>
        </w:tc>
      </w:tr>
      <w:tr w:rsidR="00025B26" w:rsidRPr="00664B10" w14:paraId="1AA8D705" w14:textId="77777777" w:rsidTr="0046173E">
        <w:tc>
          <w:tcPr>
            <w:tcW w:w="4495" w:type="dxa"/>
          </w:tcPr>
          <w:p w14:paraId="60F3E041" w14:textId="77777777" w:rsidR="00025B26" w:rsidRPr="002121E1" w:rsidRDefault="00025B26" w:rsidP="0046173E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>Lib Exp     $13,272.17</w:t>
            </w:r>
          </w:p>
        </w:tc>
        <w:tc>
          <w:tcPr>
            <w:tcW w:w="4135" w:type="dxa"/>
          </w:tcPr>
          <w:p w14:paraId="06EF053E" w14:textId="77777777" w:rsidR="00025B26" w:rsidRPr="003003C8" w:rsidRDefault="00025B26" w:rsidP="0046173E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>11 Month CD</w:t>
            </w:r>
            <w:r w:rsidRPr="00D5483A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>$5,261.58</w:t>
            </w:r>
          </w:p>
        </w:tc>
      </w:tr>
    </w:tbl>
    <w:p w14:paraId="5A4D96D5" w14:textId="77777777" w:rsidR="00025B26" w:rsidRDefault="00025B26" w:rsidP="00025B26">
      <w:pPr>
        <w:rPr>
          <w:u w:val="single"/>
        </w:rPr>
      </w:pPr>
    </w:p>
    <w:p w14:paraId="6DA0562C" w14:textId="77777777" w:rsidR="00025B26" w:rsidRDefault="00025B26" w:rsidP="00025B26">
      <w:pPr>
        <w:rPr>
          <w:u w:val="single"/>
        </w:rPr>
      </w:pPr>
    </w:p>
    <w:p w14:paraId="3B16CC4C" w14:textId="77777777" w:rsidR="00025B26" w:rsidRDefault="00025B26" w:rsidP="00025B26">
      <w:pPr>
        <w:rPr>
          <w:u w:val="single"/>
        </w:rPr>
      </w:pPr>
    </w:p>
    <w:p w14:paraId="74A85241" w14:textId="77777777" w:rsidR="00025B26" w:rsidRDefault="00025B26" w:rsidP="00025B26">
      <w:pPr>
        <w:rPr>
          <w:u w:val="single"/>
        </w:rPr>
      </w:pPr>
    </w:p>
    <w:p w14:paraId="78686EDD" w14:textId="77777777" w:rsidR="00025B26" w:rsidRDefault="00025B26" w:rsidP="00025B26">
      <w:pPr>
        <w:rPr>
          <w:u w:val="single"/>
        </w:rPr>
      </w:pPr>
    </w:p>
    <w:p w14:paraId="5971F9D0" w14:textId="77777777" w:rsidR="00025B26" w:rsidRPr="003B47E7" w:rsidRDefault="00025B26" w:rsidP="00025B26">
      <w:pPr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29E18AD1" w14:textId="5725D4CB" w:rsidR="00025B26" w:rsidRPr="00025B26" w:rsidRDefault="00025B26" w:rsidP="00025B26">
      <w:pPr>
        <w:ind w:left="360" w:firstLine="360"/>
        <w:rPr>
          <w:u w:val="single"/>
        </w:rPr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>: January Expenses, Account Balances, MTD income/expenses, check approval-</w:t>
      </w:r>
      <w:r w:rsidRPr="00025B26">
        <w:t xml:space="preserve">Amber discussed financials. Motion to approve made by Kayla, seconded by Kayla. All </w:t>
      </w:r>
      <w:r w:rsidR="002A04E3" w:rsidRPr="00025B26">
        <w:t>Ayed</w:t>
      </w:r>
      <w:r w:rsidRPr="00025B26">
        <w:t>.</w:t>
      </w:r>
      <w:r>
        <w:t xml:space="preserve"> </w:t>
      </w:r>
      <w:r w:rsidRPr="00025B26">
        <w:t>Motion carried.</w:t>
      </w:r>
    </w:p>
    <w:p w14:paraId="4C972BBF" w14:textId="547F351D" w:rsidR="00025B26" w:rsidRPr="00EE5A1B" w:rsidRDefault="00025B26" w:rsidP="00025B26">
      <w:pPr>
        <w:pStyle w:val="ListParagraph"/>
        <w:numPr>
          <w:ilvl w:val="0"/>
          <w:numId w:val="1"/>
        </w:numPr>
      </w:pPr>
      <w:r w:rsidRPr="00A35F8C">
        <w:rPr>
          <w:u w:val="single"/>
        </w:rPr>
        <w:t>Trustee Essentials</w:t>
      </w:r>
      <w:r>
        <w:rPr>
          <w:u w:val="single"/>
        </w:rPr>
        <w:t>-</w:t>
      </w:r>
      <w:r w:rsidRPr="00025B26">
        <w:t>Amber briefly discussed TE #1.</w:t>
      </w:r>
    </w:p>
    <w:p w14:paraId="5E762496" w14:textId="77777777" w:rsidR="00025B26" w:rsidRDefault="00025B26" w:rsidP="00025B26">
      <w:pPr>
        <w:pStyle w:val="ListParagraph"/>
        <w:numPr>
          <w:ilvl w:val="0"/>
          <w:numId w:val="1"/>
        </w:numPr>
        <w:rPr>
          <w:u w:val="single"/>
        </w:rPr>
      </w:pPr>
      <w:r w:rsidRPr="00086733">
        <w:rPr>
          <w:u w:val="single"/>
        </w:rPr>
        <w:t>Library Business</w:t>
      </w:r>
    </w:p>
    <w:p w14:paraId="75668567" w14:textId="58A38CA5" w:rsidR="00025B26" w:rsidRDefault="00025B26" w:rsidP="00025B26">
      <w:pPr>
        <w:pStyle w:val="ListParagraph"/>
        <w:numPr>
          <w:ilvl w:val="0"/>
          <w:numId w:val="1"/>
        </w:numPr>
        <w:rPr>
          <w:u w:val="single"/>
        </w:rPr>
      </w:pPr>
      <w:r w:rsidRPr="00347B46">
        <w:rPr>
          <w:color w:val="FF0000"/>
          <w:u w:val="single"/>
        </w:rPr>
        <w:t>Action Item:</w:t>
      </w:r>
      <w:r w:rsidRPr="00347B46">
        <w:rPr>
          <w:color w:val="FF0000"/>
        </w:rPr>
        <w:t xml:space="preserve"> </w:t>
      </w:r>
      <w:r>
        <w:t xml:space="preserve">Approval of 2024 Library Annual Report-Amber briefly went over Annual Report for 2024 and passed out several copies to look over. Motion to approve made by Kayla, seconded by Deanna. All </w:t>
      </w:r>
      <w:r w:rsidR="002A04E3">
        <w:t>Ayed</w:t>
      </w:r>
      <w:r>
        <w:t>. Motion carried.</w:t>
      </w:r>
    </w:p>
    <w:p w14:paraId="7918A45F" w14:textId="52939F2F" w:rsidR="00025B26" w:rsidRPr="00025B26" w:rsidRDefault="00025B26" w:rsidP="00025B26">
      <w:pPr>
        <w:ind w:left="720"/>
      </w:pPr>
      <w:r w:rsidRPr="00814644">
        <w:rPr>
          <w:color w:val="FF0000"/>
          <w:u w:val="single"/>
        </w:rPr>
        <w:t>Action Item:</w:t>
      </w:r>
      <w:r w:rsidRPr="00814644">
        <w:rPr>
          <w:color w:val="FF0000"/>
        </w:rPr>
        <w:t xml:space="preserve"> </w:t>
      </w:r>
      <w:r>
        <w:t xml:space="preserve">Approval/Comments: Statement Concerning Public Library System Effectiveness: </w:t>
      </w:r>
      <w:r w:rsidRPr="00814644">
        <w:rPr>
          <w:rFonts w:asciiTheme="minorHAnsi" w:hAnsiTheme="minorHAnsi" w:cstheme="minorHAnsi"/>
          <w:i/>
          <w:iCs/>
        </w:rPr>
        <w:t>The Greenwood Area Library Board of Trustees hereby states that in 202</w:t>
      </w:r>
      <w:r>
        <w:rPr>
          <w:rFonts w:asciiTheme="minorHAnsi" w:hAnsiTheme="minorHAnsi" w:cstheme="minorHAnsi"/>
          <w:i/>
          <w:iCs/>
        </w:rPr>
        <w:t>4</w:t>
      </w:r>
      <w:r w:rsidRPr="00814644">
        <w:rPr>
          <w:rFonts w:asciiTheme="minorHAnsi" w:hAnsiTheme="minorHAnsi" w:cstheme="minorHAnsi"/>
          <w:i/>
          <w:iCs/>
        </w:rPr>
        <w:t xml:space="preserve"> the Wisconsin Valley Library Service (did / did not) provide effective leadership and adequately met/meet the needs of the library.   Comments</w:t>
      </w:r>
      <w:proofErr w:type="gramStart"/>
      <w:r w:rsidRPr="00814644">
        <w:rPr>
          <w:rFonts w:asciiTheme="minorHAnsi" w:hAnsiTheme="minorHAnsi" w:cstheme="minorHAnsi"/>
          <w:i/>
          <w:iCs/>
        </w:rPr>
        <w:t>: ?</w:t>
      </w:r>
      <w:proofErr w:type="gramEnd"/>
      <w:r>
        <w:rPr>
          <w:rFonts w:asciiTheme="minorHAnsi" w:hAnsiTheme="minorHAnsi" w:cstheme="minorHAnsi"/>
          <w:i/>
          <w:iCs/>
        </w:rPr>
        <w:t xml:space="preserve">  </w:t>
      </w:r>
      <w:r>
        <w:rPr>
          <w:rFonts w:asciiTheme="minorHAnsi" w:hAnsiTheme="minorHAnsi" w:cstheme="minorHAnsi"/>
        </w:rPr>
        <w:t xml:space="preserve">-Amber </w:t>
      </w:r>
      <w:r w:rsidR="002A04E3">
        <w:rPr>
          <w:rFonts w:asciiTheme="minorHAnsi" w:hAnsiTheme="minorHAnsi" w:cstheme="minorHAnsi"/>
        </w:rPr>
        <w:t>mentioned</w:t>
      </w:r>
      <w:r>
        <w:rPr>
          <w:rFonts w:asciiTheme="minorHAnsi" w:hAnsiTheme="minorHAnsi" w:cstheme="minorHAnsi"/>
        </w:rPr>
        <w:t xml:space="preserve"> that WVLS has been very helpful for 2024. No complaints. Motion made to accept </w:t>
      </w:r>
      <w:proofErr w:type="gramStart"/>
      <w:r>
        <w:rPr>
          <w:rFonts w:asciiTheme="minorHAnsi" w:hAnsiTheme="minorHAnsi" w:cstheme="minorHAnsi"/>
        </w:rPr>
        <w:t>statement</w:t>
      </w:r>
      <w:proofErr w:type="gramEnd"/>
      <w:r>
        <w:rPr>
          <w:rFonts w:asciiTheme="minorHAnsi" w:hAnsiTheme="minorHAnsi" w:cstheme="minorHAnsi"/>
        </w:rPr>
        <w:t xml:space="preserve"> saying WVLS DID provide effective leadership through 2024 by Kayla and seconded by Barb. All </w:t>
      </w:r>
      <w:r w:rsidR="002A04E3">
        <w:rPr>
          <w:rFonts w:asciiTheme="minorHAnsi" w:hAnsiTheme="minorHAnsi" w:cstheme="minorHAnsi"/>
        </w:rPr>
        <w:t>Ayed</w:t>
      </w:r>
      <w:r>
        <w:rPr>
          <w:rFonts w:asciiTheme="minorHAnsi" w:hAnsiTheme="minorHAnsi" w:cstheme="minorHAnsi"/>
        </w:rPr>
        <w:t>. Motion carried.</w:t>
      </w:r>
    </w:p>
    <w:p w14:paraId="4166B657" w14:textId="06DD800D" w:rsidR="00025B26" w:rsidRDefault="00025B26" w:rsidP="00025B26">
      <w:pPr>
        <w:pStyle w:val="ListParagraph"/>
      </w:pPr>
      <w:r w:rsidRPr="00347B46">
        <w:rPr>
          <w:color w:val="FF0000"/>
          <w:u w:val="single"/>
        </w:rPr>
        <w:t>Action Item:</w:t>
      </w:r>
      <w:r w:rsidRPr="00347B46">
        <w:rPr>
          <w:color w:val="FF0000"/>
        </w:rPr>
        <w:t xml:space="preserve"> </w:t>
      </w:r>
      <w:r w:rsidRPr="00347B46">
        <w:t>Board Elections</w:t>
      </w:r>
      <w:r>
        <w:t xml:space="preserve">-Joe opened nominations for board elections. Kayla nominated Deanna </w:t>
      </w:r>
      <w:r w:rsidR="002F356C">
        <w:t xml:space="preserve">for President </w:t>
      </w:r>
      <w:r>
        <w:t xml:space="preserve">&amp; Barb seconded. Deanna agreed to accept nomination. Kayla nominated Amber for Secretary &amp; </w:t>
      </w:r>
      <w:r w:rsidR="002A04E3">
        <w:t xml:space="preserve">Barb </w:t>
      </w:r>
      <w:proofErr w:type="gramStart"/>
      <w:r w:rsidR="002A04E3">
        <w:t>seconded</w:t>
      </w:r>
      <w:proofErr w:type="gramEnd"/>
      <w:r w:rsidR="002A04E3">
        <w:t xml:space="preserve">. Amber agreed to accept nomination. Barb nominated Jerry for Vice President &amp; Deanna seconded. Jerry agreed to accept nomination. Joe closed nominations. Joe made a motion to accept all 3 </w:t>
      </w:r>
      <w:r w:rsidR="002A04E3">
        <w:lastRenderedPageBreak/>
        <w:t xml:space="preserve">nominations and </w:t>
      </w:r>
      <w:proofErr w:type="gramStart"/>
      <w:r w:rsidR="002A04E3">
        <w:t>vote</w:t>
      </w:r>
      <w:proofErr w:type="gramEnd"/>
      <w:r w:rsidR="002A04E3">
        <w:t xml:space="preserve"> to approve. All Ayed. Motion carried.</w:t>
      </w:r>
      <w:r w:rsidR="00356686">
        <w:t xml:space="preserve"> Deanna then </w:t>
      </w:r>
      <w:r w:rsidR="00986BC2">
        <w:t xml:space="preserve">added Stephanie to Personnel Committee to </w:t>
      </w:r>
      <w:proofErr w:type="gramStart"/>
      <w:r w:rsidR="00DF5D69">
        <w:t>fill</w:t>
      </w:r>
      <w:proofErr w:type="gramEnd"/>
      <w:r w:rsidR="00DF5D69">
        <w:t xml:space="preserve"> an opening. Deanna removed Joe from Budget committee and added herself. All other </w:t>
      </w:r>
      <w:proofErr w:type="gramStart"/>
      <w:r w:rsidR="00DF5D69">
        <w:t>committee’s</w:t>
      </w:r>
      <w:proofErr w:type="gramEnd"/>
      <w:r w:rsidR="00DF5D69">
        <w:t xml:space="preserve"> stayed the same.</w:t>
      </w:r>
    </w:p>
    <w:p w14:paraId="1C6DFBC1" w14:textId="77777777" w:rsidR="00025B26" w:rsidRDefault="00025B26" w:rsidP="00025B26">
      <w:pPr>
        <w:pStyle w:val="ListParagraph"/>
        <w:numPr>
          <w:ilvl w:val="0"/>
          <w:numId w:val="1"/>
        </w:numPr>
        <w:rPr>
          <w:u w:val="single"/>
        </w:rPr>
      </w:pPr>
      <w:r w:rsidRPr="0034620D">
        <w:rPr>
          <w:u w:val="single"/>
        </w:rPr>
        <w:t>Building &amp; Policy Committee</w:t>
      </w:r>
    </w:p>
    <w:p w14:paraId="425FCDEA" w14:textId="27DE7E4A" w:rsidR="00025B26" w:rsidRPr="00AD58AB" w:rsidRDefault="00025B26" w:rsidP="00025B26">
      <w:pPr>
        <w:pStyle w:val="ListParagraph"/>
      </w:pPr>
      <w:r w:rsidRPr="009912C0">
        <w:rPr>
          <w:color w:val="FF0000"/>
          <w:u w:val="single"/>
        </w:rPr>
        <w:t>Action Item:</w:t>
      </w:r>
      <w:r w:rsidRPr="009912C0">
        <w:rPr>
          <w:color w:val="FF0000"/>
        </w:rPr>
        <w:t xml:space="preserve"> </w:t>
      </w:r>
      <w:r>
        <w:t xml:space="preserve">Approval </w:t>
      </w:r>
      <w:proofErr w:type="gramStart"/>
      <w:r>
        <w:t>to apply</w:t>
      </w:r>
      <w:proofErr w:type="gramEnd"/>
      <w:r>
        <w:t xml:space="preserve"> for T-Mobile Grant to update restroom.</w:t>
      </w:r>
      <w:r w:rsidR="002A04E3">
        <w:t xml:space="preserve"> -Amber updated board on estimate that came in from Mark Gardner to update the restrooms. Estimate came in at $24,789.22. This includes work to expand bathroom with new fixtures (toilet, sink, grab bars, new light) ceiling drywall, texture, primer, paint, non-venting exhaust fan, flooring, new door and trim work. This estimate was required to fulfill the grant. Motion to approve applying for T-Mobile grant made by Barb and seconded by Jerry. All Ayed. Motion carried.</w:t>
      </w:r>
    </w:p>
    <w:p w14:paraId="706B69B0" w14:textId="6C1A631B" w:rsidR="00025B26" w:rsidRPr="002A04E3" w:rsidRDefault="00025B26" w:rsidP="00025B26">
      <w:pPr>
        <w:pStyle w:val="ListParagraph"/>
        <w:numPr>
          <w:ilvl w:val="0"/>
          <w:numId w:val="1"/>
        </w:numPr>
      </w:pPr>
      <w:r w:rsidRPr="000237F7">
        <w:rPr>
          <w:u w:val="single"/>
        </w:rPr>
        <w:t>New Business</w:t>
      </w:r>
      <w:r w:rsidR="002A04E3">
        <w:rPr>
          <w:u w:val="single"/>
        </w:rPr>
        <w:t>-</w:t>
      </w:r>
      <w:r w:rsidR="002A04E3" w:rsidRPr="002A04E3">
        <w:t>Amber informed board that the only Library expansion funds designated specifically for library expansion are $550, that she can determine for sure.</w:t>
      </w:r>
      <w:r w:rsidR="002A04E3">
        <w:t xml:space="preserve"> </w:t>
      </w:r>
    </w:p>
    <w:p w14:paraId="63C2836A" w14:textId="1252B03A" w:rsidR="00025B26" w:rsidRPr="002A04E3" w:rsidRDefault="00025B26" w:rsidP="00025B26">
      <w:pPr>
        <w:pStyle w:val="ListParagraph"/>
        <w:numPr>
          <w:ilvl w:val="0"/>
          <w:numId w:val="1"/>
        </w:numPr>
      </w:pPr>
      <w:r w:rsidRPr="002A04E3">
        <w:t>Board Member Reports</w:t>
      </w:r>
      <w:r w:rsidR="002A04E3">
        <w:t>- None to report.</w:t>
      </w:r>
    </w:p>
    <w:p w14:paraId="38386ABA" w14:textId="79D9BDFC" w:rsidR="00025B26" w:rsidRDefault="00025B26" w:rsidP="00025B26">
      <w:pPr>
        <w:pStyle w:val="ListParagraph"/>
        <w:numPr>
          <w:ilvl w:val="0"/>
          <w:numId w:val="1"/>
        </w:numPr>
      </w:pPr>
      <w:r>
        <w:t>Set next Meeting date &amp; time</w:t>
      </w:r>
      <w:r w:rsidR="002A04E3">
        <w:t>-Next meeting set for April 10</w:t>
      </w:r>
      <w:r w:rsidR="002A04E3" w:rsidRPr="002A04E3">
        <w:rPr>
          <w:vertAlign w:val="superscript"/>
        </w:rPr>
        <w:t>th</w:t>
      </w:r>
      <w:r w:rsidR="002A04E3">
        <w:t xml:space="preserve"> at 4pm.</w:t>
      </w:r>
    </w:p>
    <w:p w14:paraId="676326A7" w14:textId="0568DBBF" w:rsidR="00025B26" w:rsidRPr="00086733" w:rsidRDefault="00025B26" w:rsidP="00025B26">
      <w:pPr>
        <w:pStyle w:val="ListParagraph"/>
        <w:numPr>
          <w:ilvl w:val="0"/>
          <w:numId w:val="1"/>
        </w:numPr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  <w:r w:rsidR="002A04E3">
        <w:t>-Motion to adjourn made by Barb and seconded by Jerry. All Ayed. Meeting adjourned at 4:28pm.</w:t>
      </w:r>
    </w:p>
    <w:p w14:paraId="61CEC0A3" w14:textId="77777777" w:rsidR="00025B26" w:rsidRDefault="00025B26" w:rsidP="00025B26">
      <w:pPr>
        <w:rPr>
          <w:b/>
          <w:bCs/>
        </w:rPr>
      </w:pPr>
    </w:p>
    <w:p w14:paraId="7D9F9A6B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26"/>
    <w:rsid w:val="00025B26"/>
    <w:rsid w:val="001258BE"/>
    <w:rsid w:val="002A04E3"/>
    <w:rsid w:val="002F356C"/>
    <w:rsid w:val="00356686"/>
    <w:rsid w:val="005D2541"/>
    <w:rsid w:val="00661053"/>
    <w:rsid w:val="0082707B"/>
    <w:rsid w:val="00986BC2"/>
    <w:rsid w:val="00A31E51"/>
    <w:rsid w:val="00C1153D"/>
    <w:rsid w:val="00D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CD9C"/>
  <w15:chartTrackingRefBased/>
  <w15:docId w15:val="{76F40967-B56F-46C0-A9CE-72F351E0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26"/>
    <w:pPr>
      <w:spacing w:after="0" w:line="240" w:lineRule="auto"/>
    </w:pPr>
    <w:rPr>
      <w:rFonts w:ascii="Calibri" w:hAnsi="Calibri" w:cs="Microsoft Sans Serif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B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B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B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B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B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B26"/>
    <w:pPr>
      <w:spacing w:after="0" w:line="240" w:lineRule="auto"/>
    </w:pPr>
    <w:rPr>
      <w:rFonts w:ascii="Calibri" w:hAnsi="Calibri" w:cs="Microsoft Sans Serif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dcterms:created xsi:type="dcterms:W3CDTF">2025-10-22T17:06:00Z</dcterms:created>
  <dcterms:modified xsi:type="dcterms:W3CDTF">2025-10-22T17:06:00Z</dcterms:modified>
</cp:coreProperties>
</file>